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E" w:rsidRPr="00CB61CB" w:rsidRDefault="00E15C74" w:rsidP="000C4B93">
      <w:pPr>
        <w:spacing w:line="360" w:lineRule="auto"/>
        <w:jc w:val="both"/>
        <w:rPr>
          <w:rFonts w:ascii="Times New Roman" w:hAnsi="Times New Roman" w:cs="Times New Roman"/>
          <w:b/>
        </w:rPr>
      </w:pPr>
      <w:r w:rsidRPr="00CB61CB">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CB61CB">
        <w:trPr>
          <w:trHeight w:val="977"/>
        </w:trPr>
        <w:tc>
          <w:tcPr>
            <w:tcW w:w="3062" w:type="dxa"/>
          </w:tcPr>
          <w:p w:rsidR="00BA178E" w:rsidRPr="00CB61CB" w:rsidRDefault="00E15C74" w:rsidP="000C4B93">
            <w:pPr>
              <w:spacing w:line="360" w:lineRule="auto"/>
              <w:jc w:val="both"/>
              <w:rPr>
                <w:rFonts w:ascii="Times New Roman" w:hAnsi="Times New Roman" w:cs="Times New Roman"/>
                <w:b/>
                <w:bCs/>
              </w:rPr>
            </w:pPr>
            <w:r w:rsidRPr="00CB61CB">
              <w:rPr>
                <w:rFonts w:ascii="Times New Roman" w:hAnsi="Times New Roman" w:cs="Times New Roman"/>
                <w:b/>
                <w:bCs/>
              </w:rPr>
              <w:t>Article Number:</w:t>
            </w:r>
          </w:p>
          <w:p w:rsidR="00BA178E" w:rsidRPr="00CB61CB" w:rsidRDefault="00B57067" w:rsidP="000C4B93">
            <w:pPr>
              <w:spacing w:line="360" w:lineRule="auto"/>
              <w:jc w:val="both"/>
              <w:rPr>
                <w:rFonts w:ascii="Times New Roman" w:hAnsi="Times New Roman" w:cs="Times New Roman"/>
                <w:b/>
              </w:rPr>
            </w:pPr>
            <w:r w:rsidRPr="00B57067">
              <w:rPr>
                <w:rFonts w:ascii="Times New Roman" w:hAnsi="Times New Roman" w:cs="Times New Roman"/>
                <w:b/>
              </w:rPr>
              <w:t>JDOH-3074</w:t>
            </w:r>
          </w:p>
        </w:tc>
        <w:tc>
          <w:tcPr>
            <w:tcW w:w="3600" w:type="dxa"/>
          </w:tcPr>
          <w:p w:rsidR="00BA178E" w:rsidRPr="00CB61CB" w:rsidRDefault="00E15C74" w:rsidP="000C4B93">
            <w:pPr>
              <w:autoSpaceDE w:val="0"/>
              <w:autoSpaceDN w:val="0"/>
              <w:adjustRightInd w:val="0"/>
              <w:spacing w:after="0" w:line="360" w:lineRule="auto"/>
              <w:jc w:val="both"/>
              <w:rPr>
                <w:rFonts w:ascii="Times New Roman" w:hAnsi="Times New Roman" w:cs="Times New Roman"/>
                <w:b/>
                <w:bCs/>
                <w:lang w:val="en-GB"/>
              </w:rPr>
            </w:pPr>
            <w:r w:rsidRPr="00CB61CB">
              <w:rPr>
                <w:rFonts w:ascii="Times New Roman" w:hAnsi="Times New Roman" w:cs="Times New Roman"/>
                <w:b/>
                <w:bCs/>
                <w:lang w:val="en-GB"/>
              </w:rPr>
              <w:t>Author Name</w:t>
            </w:r>
          </w:p>
          <w:p w:rsidR="00BA178E" w:rsidRPr="00CB61CB" w:rsidRDefault="00BA178E" w:rsidP="000C4B93">
            <w:pPr>
              <w:autoSpaceDE w:val="0"/>
              <w:autoSpaceDN w:val="0"/>
              <w:adjustRightInd w:val="0"/>
              <w:spacing w:after="0" w:line="360" w:lineRule="auto"/>
              <w:jc w:val="both"/>
              <w:rPr>
                <w:rFonts w:ascii="Times New Roman" w:hAnsi="Times New Roman" w:cs="Times New Roman"/>
                <w:b/>
              </w:rPr>
            </w:pPr>
          </w:p>
          <w:p w:rsidR="00BA178E" w:rsidRPr="00CB61CB" w:rsidRDefault="00B57067" w:rsidP="000C4B93">
            <w:pPr>
              <w:autoSpaceDE w:val="0"/>
              <w:autoSpaceDN w:val="0"/>
              <w:adjustRightInd w:val="0"/>
              <w:spacing w:after="0" w:line="360" w:lineRule="auto"/>
              <w:jc w:val="both"/>
              <w:rPr>
                <w:rFonts w:ascii="Times New Roman" w:hAnsi="Times New Roman" w:cs="Times New Roman"/>
                <w:b/>
                <w:bCs/>
                <w:lang w:val="en-GB"/>
              </w:rPr>
            </w:pPr>
            <w:r w:rsidRPr="00B57067">
              <w:rPr>
                <w:rFonts w:ascii="Times New Roman" w:hAnsi="Times New Roman" w:cs="Times New Roman"/>
                <w:b/>
                <w:bCs/>
                <w:lang w:val="en-GB"/>
              </w:rPr>
              <w:t xml:space="preserve">Santos </w:t>
            </w:r>
            <w:proofErr w:type="spellStart"/>
            <w:r w:rsidRPr="00B57067">
              <w:rPr>
                <w:rFonts w:ascii="Times New Roman" w:hAnsi="Times New Roman" w:cs="Times New Roman"/>
                <w:b/>
                <w:bCs/>
                <w:lang w:val="en-GB"/>
              </w:rPr>
              <w:t>Santinoni</w:t>
            </w:r>
            <w:proofErr w:type="spellEnd"/>
            <w:r w:rsidRPr="00B57067">
              <w:rPr>
                <w:rFonts w:ascii="Times New Roman" w:hAnsi="Times New Roman" w:cs="Times New Roman"/>
                <w:b/>
                <w:bCs/>
                <w:lang w:val="en-GB"/>
              </w:rPr>
              <w:t xml:space="preserve"> Carolina dos</w:t>
            </w:r>
          </w:p>
        </w:tc>
        <w:tc>
          <w:tcPr>
            <w:tcW w:w="3443" w:type="dxa"/>
          </w:tcPr>
          <w:p w:rsidR="00BA178E" w:rsidRPr="00CB61CB" w:rsidRDefault="00E15C74" w:rsidP="000C4B93">
            <w:pPr>
              <w:spacing w:line="360" w:lineRule="auto"/>
              <w:jc w:val="both"/>
              <w:rPr>
                <w:rFonts w:ascii="Times New Roman" w:hAnsi="Times New Roman" w:cs="Times New Roman"/>
              </w:rPr>
            </w:pPr>
            <w:r w:rsidRPr="00CB61CB">
              <w:rPr>
                <w:rFonts w:ascii="Times New Roman" w:hAnsi="Times New Roman" w:cs="Times New Roman"/>
              </w:rPr>
              <w:t xml:space="preserve"> </w:t>
            </w:r>
          </w:p>
        </w:tc>
      </w:tr>
      <w:tr w:rsidR="00BA178E" w:rsidRPr="00CB61CB">
        <w:trPr>
          <w:trHeight w:val="413"/>
        </w:trPr>
        <w:tc>
          <w:tcPr>
            <w:tcW w:w="3062" w:type="dxa"/>
            <w:vAlign w:val="center"/>
          </w:tcPr>
          <w:p w:rsidR="00BA178E" w:rsidRPr="00CB61CB" w:rsidRDefault="00E15C74" w:rsidP="000C4B93">
            <w:pPr>
              <w:spacing w:line="360" w:lineRule="auto"/>
              <w:jc w:val="both"/>
              <w:rPr>
                <w:rFonts w:ascii="Times New Roman" w:hAnsi="Times New Roman" w:cs="Times New Roman"/>
              </w:rPr>
            </w:pPr>
            <w:r w:rsidRPr="00CB61CB">
              <w:rPr>
                <w:rFonts w:ascii="Times New Roman" w:hAnsi="Times New Roman" w:cs="Times New Roman"/>
              </w:rPr>
              <w:t>Accept</w:t>
            </w:r>
          </w:p>
        </w:tc>
        <w:tc>
          <w:tcPr>
            <w:tcW w:w="3600" w:type="dxa"/>
            <w:vAlign w:val="center"/>
          </w:tcPr>
          <w:p w:rsidR="00BA178E" w:rsidRPr="00CB61CB" w:rsidRDefault="00E15C74" w:rsidP="000C4B93">
            <w:pPr>
              <w:pStyle w:val="ListParagraph"/>
              <w:numPr>
                <w:ilvl w:val="0"/>
                <w:numId w:val="1"/>
              </w:numPr>
              <w:spacing w:line="360" w:lineRule="auto"/>
              <w:jc w:val="both"/>
              <w:rPr>
                <w:rFonts w:ascii="Times New Roman" w:hAnsi="Times New Roman" w:cs="Times New Roman"/>
                <w:b/>
              </w:rPr>
            </w:pPr>
            <w:r w:rsidRPr="00CB61CB">
              <w:rPr>
                <w:rFonts w:ascii="Times New Roman" w:hAnsi="Times New Roman" w:cs="Times New Roman"/>
                <w:b/>
              </w:rPr>
              <w:t>Minor Revision</w:t>
            </w:r>
          </w:p>
        </w:tc>
        <w:tc>
          <w:tcPr>
            <w:tcW w:w="3443" w:type="dxa"/>
            <w:vAlign w:val="center"/>
          </w:tcPr>
          <w:p w:rsidR="00BA178E" w:rsidRPr="00CB61CB" w:rsidRDefault="00E15C74" w:rsidP="000C4B93">
            <w:pPr>
              <w:pStyle w:val="ListParagraph"/>
              <w:spacing w:line="360" w:lineRule="auto"/>
              <w:jc w:val="both"/>
              <w:rPr>
                <w:rFonts w:ascii="Times New Roman" w:hAnsi="Times New Roman" w:cs="Times New Roman"/>
              </w:rPr>
            </w:pPr>
            <w:r w:rsidRPr="00CB61CB">
              <w:rPr>
                <w:rFonts w:ascii="Times New Roman" w:hAnsi="Times New Roman" w:cs="Times New Roman"/>
              </w:rPr>
              <w:t>Major Revision</w:t>
            </w:r>
          </w:p>
        </w:tc>
      </w:tr>
      <w:tr w:rsidR="00BA178E" w:rsidRPr="00CB61CB">
        <w:trPr>
          <w:trHeight w:val="440"/>
        </w:trPr>
        <w:tc>
          <w:tcPr>
            <w:tcW w:w="3062" w:type="dxa"/>
            <w:vAlign w:val="center"/>
          </w:tcPr>
          <w:p w:rsidR="00BA178E" w:rsidRPr="00CB61CB" w:rsidRDefault="00E15C74" w:rsidP="000C4B93">
            <w:pPr>
              <w:spacing w:line="360" w:lineRule="auto"/>
              <w:jc w:val="both"/>
              <w:rPr>
                <w:rFonts w:ascii="Times New Roman" w:hAnsi="Times New Roman" w:cs="Times New Roman"/>
              </w:rPr>
            </w:pPr>
            <w:r w:rsidRPr="00CB61CB">
              <w:rPr>
                <w:rFonts w:ascii="Times New Roman" w:hAnsi="Times New Roman" w:cs="Times New Roman"/>
              </w:rPr>
              <w:t>Reject</w:t>
            </w:r>
          </w:p>
        </w:tc>
        <w:tc>
          <w:tcPr>
            <w:tcW w:w="3600" w:type="dxa"/>
            <w:vAlign w:val="center"/>
          </w:tcPr>
          <w:p w:rsidR="00BA178E" w:rsidRPr="00CB61CB" w:rsidRDefault="00E15C74" w:rsidP="000C4B93">
            <w:pPr>
              <w:spacing w:line="360" w:lineRule="auto"/>
              <w:jc w:val="both"/>
              <w:rPr>
                <w:rFonts w:ascii="Times New Roman" w:hAnsi="Times New Roman" w:cs="Times New Roman"/>
              </w:rPr>
            </w:pPr>
            <w:r w:rsidRPr="00CB61CB">
              <w:rPr>
                <w:rFonts w:ascii="Times New Roman" w:hAnsi="Times New Roman" w:cs="Times New Roman"/>
              </w:rPr>
              <w:t>Re-revision</w:t>
            </w:r>
          </w:p>
        </w:tc>
        <w:tc>
          <w:tcPr>
            <w:tcW w:w="3443" w:type="dxa"/>
            <w:vAlign w:val="center"/>
          </w:tcPr>
          <w:p w:rsidR="00BA178E" w:rsidRPr="00CB61CB" w:rsidRDefault="00E15C74" w:rsidP="000C4B93">
            <w:pPr>
              <w:spacing w:line="360" w:lineRule="auto"/>
              <w:jc w:val="both"/>
              <w:rPr>
                <w:rFonts w:ascii="Times New Roman" w:hAnsi="Times New Roman" w:cs="Times New Roman"/>
              </w:rPr>
            </w:pPr>
            <w:r w:rsidRPr="00CB61CB">
              <w:rPr>
                <w:rFonts w:ascii="Times New Roman" w:hAnsi="Times New Roman" w:cs="Times New Roman"/>
              </w:rPr>
              <w:t>Poor Quality</w:t>
            </w:r>
          </w:p>
        </w:tc>
      </w:tr>
      <w:tr w:rsidR="00BA178E" w:rsidRPr="00CB61CB">
        <w:trPr>
          <w:trHeight w:val="2240"/>
        </w:trPr>
        <w:tc>
          <w:tcPr>
            <w:tcW w:w="10105" w:type="dxa"/>
            <w:gridSpan w:val="3"/>
          </w:tcPr>
          <w:p w:rsidR="00AA7B07" w:rsidRDefault="00E15C74" w:rsidP="000C4B93">
            <w:pPr>
              <w:spacing w:line="360" w:lineRule="auto"/>
              <w:jc w:val="both"/>
              <w:rPr>
                <w:rFonts w:ascii="Times New Roman" w:eastAsia="Times New Roman" w:hAnsi="Times New Roman" w:cs="Times New Roman"/>
                <w:b/>
                <w:bCs/>
                <w:shd w:val="clear" w:color="auto" w:fill="FFFFFF"/>
                <w:lang w:val="en-IN" w:eastAsia="en-IN"/>
              </w:rPr>
            </w:pPr>
            <w:r w:rsidRPr="00CB61CB">
              <w:rPr>
                <w:rFonts w:ascii="Times New Roman" w:eastAsia="Times New Roman" w:hAnsi="Times New Roman" w:cs="Times New Roman"/>
                <w:b/>
                <w:bCs/>
                <w:shd w:val="clear" w:color="auto" w:fill="FFFFFF"/>
                <w:lang w:val="en-IN" w:eastAsia="en-IN"/>
              </w:rPr>
              <w:t>Title:</w:t>
            </w:r>
            <w:r w:rsidR="00B57067">
              <w:rPr>
                <w:rFonts w:ascii="Times New Roman" w:eastAsia="Times New Roman" w:hAnsi="Times New Roman" w:cs="Times New Roman"/>
                <w:b/>
                <w:bCs/>
                <w:shd w:val="clear" w:color="auto" w:fill="FFFFFF"/>
                <w:lang w:val="en-IN" w:eastAsia="en-IN"/>
              </w:rPr>
              <w:t xml:space="preserve"> </w:t>
            </w:r>
            <w:r w:rsidR="00B57067" w:rsidRPr="00B57067">
              <w:rPr>
                <w:rFonts w:ascii="Times New Roman" w:eastAsia="Times New Roman" w:hAnsi="Times New Roman" w:cs="Times New Roman"/>
                <w:b/>
                <w:bCs/>
                <w:shd w:val="clear" w:color="auto" w:fill="FFFFFF"/>
                <w:lang w:val="en-IN" w:eastAsia="en-IN"/>
              </w:rPr>
              <w:t>Alzheimer’s disease and periodontal health</w:t>
            </w:r>
          </w:p>
          <w:p w:rsidR="00525E08" w:rsidRDefault="00E15C74" w:rsidP="00525E08">
            <w:pPr>
              <w:spacing w:line="360" w:lineRule="auto"/>
              <w:jc w:val="both"/>
              <w:rPr>
                <w:rFonts w:ascii="Times New Roman" w:hAnsi="Times New Roman" w:cs="Times New Roman"/>
              </w:rPr>
            </w:pPr>
            <w:r w:rsidRPr="000C4B93">
              <w:rPr>
                <w:rFonts w:ascii="Times New Roman" w:eastAsia="Times New Roman" w:hAnsi="Times New Roman" w:cs="Times New Roman"/>
                <w:bCs/>
                <w:shd w:val="clear" w:color="auto" w:fill="FFFFFF"/>
                <w:lang w:val="en-IN" w:eastAsia="en-IN"/>
              </w:rPr>
              <w:t>General Comments from Reviewer</w:t>
            </w:r>
            <w:r w:rsidRPr="000C4B93">
              <w:rPr>
                <w:rFonts w:ascii="Times New Roman" w:hAnsi="Times New Roman" w:cs="Times New Roman"/>
              </w:rPr>
              <w:t xml:space="preserve">: </w:t>
            </w:r>
            <w:r w:rsidR="009121B9" w:rsidRPr="000C4B93">
              <w:rPr>
                <w:rFonts w:ascii="Times New Roman" w:hAnsi="Times New Roman" w:cs="Times New Roman"/>
              </w:rPr>
              <w:t>-</w:t>
            </w:r>
            <w:r w:rsidR="000C4B93">
              <w:t xml:space="preserve"> </w:t>
            </w:r>
            <w:r w:rsidR="00FF62FF" w:rsidRPr="00FF62FF">
              <w:rPr>
                <w:rFonts w:ascii="Times New Roman" w:hAnsi="Times New Roman" w:cs="Times New Roman"/>
              </w:rPr>
              <w:t>This editorial successfully highlights the association between Alzheimer's disease (AD) and periodontitis, drawing attention to important emerging links in neuroinflammatory pathways. The authors cite current and relevant studies and emphasize the need for interdisciplinary approaches in managing patients with neurodegenerative disorders. The manuscript is well-structured and informative, although there are areas where clarity and scientific rigor could be improved for better impact.</w:t>
            </w:r>
          </w:p>
          <w:p w:rsidR="00FF62FF" w:rsidRPr="00FF62FF" w:rsidRDefault="00FF62FF" w:rsidP="00FF62FF">
            <w:pPr>
              <w:pStyle w:val="ListParagraph"/>
              <w:numPr>
                <w:ilvl w:val="0"/>
                <w:numId w:val="37"/>
              </w:numPr>
              <w:spacing w:line="360" w:lineRule="auto"/>
              <w:jc w:val="both"/>
              <w:rPr>
                <w:rFonts w:ascii="Times New Roman" w:eastAsia="Times New Roman" w:hAnsi="Times New Roman" w:cs="Times New Roman"/>
                <w:bCs/>
                <w:shd w:val="clear" w:color="auto" w:fill="FFFFFF"/>
                <w:lang w:val="en-IN" w:eastAsia="en-IN"/>
              </w:rPr>
            </w:pPr>
            <w:r w:rsidRPr="00FF62FF">
              <w:rPr>
                <w:rFonts w:ascii="Times New Roman" w:eastAsia="Times New Roman" w:hAnsi="Times New Roman" w:cs="Times New Roman"/>
                <w:bCs/>
                <w:shd w:val="clear" w:color="auto" w:fill="FFFFFF"/>
                <w:lang w:val="en-IN" w:eastAsia="en-IN"/>
              </w:rPr>
              <w:t>The correlation between periodontal health and neurodegenerative disorders is gaining increasing attention, and this editorial contributes meaningfully to the discourse.</w:t>
            </w:r>
            <w:r>
              <w:t xml:space="preserve"> </w:t>
            </w:r>
          </w:p>
          <w:p w:rsidR="00FF62FF" w:rsidRPr="00FF62FF" w:rsidRDefault="00FF62FF" w:rsidP="00FF62FF">
            <w:pPr>
              <w:pStyle w:val="ListParagraph"/>
              <w:numPr>
                <w:ilvl w:val="0"/>
                <w:numId w:val="37"/>
              </w:numPr>
              <w:spacing w:line="360" w:lineRule="auto"/>
              <w:jc w:val="both"/>
              <w:rPr>
                <w:rFonts w:ascii="Times New Roman" w:eastAsia="Times New Roman" w:hAnsi="Times New Roman" w:cs="Times New Roman"/>
                <w:bCs/>
                <w:shd w:val="clear" w:color="auto" w:fill="FFFFFF"/>
                <w:lang w:val="en-IN" w:eastAsia="en-IN"/>
              </w:rPr>
            </w:pPr>
            <w:r w:rsidRPr="00FF62FF">
              <w:rPr>
                <w:rFonts w:ascii="Times New Roman" w:eastAsia="Times New Roman" w:hAnsi="Times New Roman" w:cs="Times New Roman"/>
                <w:bCs/>
                <w:shd w:val="clear" w:color="auto" w:fill="FFFFFF"/>
                <w:lang w:val="en-IN" w:eastAsia="en-IN"/>
              </w:rPr>
              <w:t xml:space="preserve">The authors emphasize the importance of integrating dental and neurological care, which is a valuable clinical perspective. </w:t>
            </w:r>
            <w:r w:rsidRPr="00FF62FF">
              <w:rPr>
                <w:rFonts w:ascii="Times New Roman" w:eastAsia="Times New Roman" w:hAnsi="Times New Roman" w:cs="Times New Roman"/>
                <w:bCs/>
                <w:shd w:val="clear" w:color="auto" w:fill="FFFFFF"/>
                <w:lang w:val="en-IN" w:eastAsia="en-IN"/>
              </w:rPr>
              <w:t>The article includes citations from recent studies (2021–2025), indicating updated literature review.</w:t>
            </w:r>
          </w:p>
          <w:p w:rsidR="00FF62FF" w:rsidRPr="00FF62FF" w:rsidRDefault="00FF62FF" w:rsidP="00FF62FF">
            <w:pPr>
              <w:pStyle w:val="ListParagraph"/>
              <w:numPr>
                <w:ilvl w:val="0"/>
                <w:numId w:val="37"/>
              </w:numPr>
              <w:spacing w:line="360" w:lineRule="auto"/>
              <w:jc w:val="both"/>
              <w:rPr>
                <w:rFonts w:ascii="Times New Roman" w:eastAsia="Times New Roman" w:hAnsi="Times New Roman" w:cs="Times New Roman"/>
                <w:bCs/>
                <w:shd w:val="clear" w:color="auto" w:fill="FFFFFF"/>
                <w:lang w:val="en-IN" w:eastAsia="en-IN"/>
              </w:rPr>
            </w:pPr>
            <w:r w:rsidRPr="00FF62FF">
              <w:rPr>
                <w:rFonts w:ascii="Times New Roman" w:eastAsia="Times New Roman" w:hAnsi="Times New Roman" w:cs="Times New Roman"/>
                <w:bCs/>
                <w:shd w:val="clear" w:color="auto" w:fill="FFFFFF"/>
                <w:lang w:val="en-IN" w:eastAsia="en-IN"/>
              </w:rPr>
              <w:t xml:space="preserve">Elaborate briefly on the mechanisms (e.g., how P. </w:t>
            </w:r>
            <w:proofErr w:type="spellStart"/>
            <w:r w:rsidRPr="00FF62FF">
              <w:rPr>
                <w:rFonts w:ascii="Times New Roman" w:eastAsia="Times New Roman" w:hAnsi="Times New Roman" w:cs="Times New Roman"/>
                <w:bCs/>
                <w:shd w:val="clear" w:color="auto" w:fill="FFFFFF"/>
                <w:lang w:val="en-IN" w:eastAsia="en-IN"/>
              </w:rPr>
              <w:t>gingivalis</w:t>
            </w:r>
            <w:proofErr w:type="spellEnd"/>
            <w:r w:rsidRPr="00FF62FF">
              <w:rPr>
                <w:rFonts w:ascii="Times New Roman" w:eastAsia="Times New Roman" w:hAnsi="Times New Roman" w:cs="Times New Roman"/>
                <w:bCs/>
                <w:shd w:val="clear" w:color="auto" w:fill="FFFFFF"/>
                <w:lang w:val="en-IN" w:eastAsia="en-IN"/>
              </w:rPr>
              <w:t xml:space="preserve"> lipid A influences TLR4 and subsequent immune response). Clarifying terms like "outer membrane vesicles" and their function would make the content more accessible, especially for non-specialists.</w:t>
            </w:r>
          </w:p>
          <w:p w:rsidR="00FF62FF" w:rsidRPr="00FF62FF" w:rsidRDefault="00FF62FF" w:rsidP="00FF62FF">
            <w:pPr>
              <w:pStyle w:val="ListParagraph"/>
              <w:numPr>
                <w:ilvl w:val="0"/>
                <w:numId w:val="37"/>
              </w:numPr>
              <w:spacing w:line="360" w:lineRule="auto"/>
              <w:jc w:val="both"/>
              <w:rPr>
                <w:rFonts w:ascii="Times New Roman" w:eastAsia="Times New Roman" w:hAnsi="Times New Roman" w:cs="Times New Roman"/>
                <w:bCs/>
                <w:shd w:val="clear" w:color="auto" w:fill="FFFFFF"/>
                <w:lang w:val="en-IN" w:eastAsia="en-IN"/>
              </w:rPr>
            </w:pPr>
            <w:r w:rsidRPr="00FF62FF">
              <w:rPr>
                <w:rFonts w:ascii="Times New Roman" w:eastAsia="Times New Roman" w:hAnsi="Times New Roman" w:cs="Times New Roman"/>
                <w:bCs/>
                <w:shd w:val="clear" w:color="auto" w:fill="FFFFFF"/>
                <w:lang w:val="en-IN" w:eastAsia="en-IN"/>
              </w:rPr>
              <w:t xml:space="preserve">There is some repetition regarding </w:t>
            </w:r>
            <w:proofErr w:type="spellStart"/>
            <w:r w:rsidRPr="00FF62FF">
              <w:rPr>
                <w:rFonts w:ascii="Times New Roman" w:eastAsia="Times New Roman" w:hAnsi="Times New Roman" w:cs="Times New Roman"/>
                <w:bCs/>
                <w:shd w:val="clear" w:color="auto" w:fill="FFFFFF"/>
                <w:lang w:val="en-IN" w:eastAsia="en-IN"/>
              </w:rPr>
              <w:t>Porphyromonas</w:t>
            </w:r>
            <w:proofErr w:type="spellEnd"/>
            <w:r w:rsidRPr="00FF62FF">
              <w:rPr>
                <w:rFonts w:ascii="Times New Roman" w:eastAsia="Times New Roman" w:hAnsi="Times New Roman" w:cs="Times New Roman"/>
                <w:bCs/>
                <w:shd w:val="clear" w:color="auto" w:fill="FFFFFF"/>
                <w:lang w:val="en-IN" w:eastAsia="en-IN"/>
              </w:rPr>
              <w:t xml:space="preserve"> </w:t>
            </w:r>
            <w:proofErr w:type="spellStart"/>
            <w:r w:rsidRPr="00FF62FF">
              <w:rPr>
                <w:rFonts w:ascii="Times New Roman" w:eastAsia="Times New Roman" w:hAnsi="Times New Roman" w:cs="Times New Roman"/>
                <w:bCs/>
                <w:shd w:val="clear" w:color="auto" w:fill="FFFFFF"/>
                <w:lang w:val="en-IN" w:eastAsia="en-IN"/>
              </w:rPr>
              <w:t>gingivalis</w:t>
            </w:r>
            <w:proofErr w:type="spellEnd"/>
            <w:r w:rsidRPr="00FF62FF">
              <w:rPr>
                <w:rFonts w:ascii="Times New Roman" w:eastAsia="Times New Roman" w:hAnsi="Times New Roman" w:cs="Times New Roman"/>
                <w:bCs/>
                <w:shd w:val="clear" w:color="auto" w:fill="FFFFFF"/>
                <w:lang w:val="en-IN" w:eastAsia="en-IN"/>
              </w:rPr>
              <w:t xml:space="preserve"> and its immune evasion mechanisms.</w:t>
            </w:r>
            <w:r>
              <w:t xml:space="preserve"> </w:t>
            </w:r>
            <w:r w:rsidRPr="00FF62FF">
              <w:rPr>
                <w:rFonts w:ascii="Times New Roman" w:eastAsia="Times New Roman" w:hAnsi="Times New Roman" w:cs="Times New Roman"/>
                <w:bCs/>
                <w:shd w:val="clear" w:color="auto" w:fill="FFFFFF"/>
                <w:lang w:val="en-IN" w:eastAsia="en-IN"/>
              </w:rPr>
              <w:t>Combine similar points into a more concise summary to enhance the flow and avoid redundancy.</w:t>
            </w:r>
          </w:p>
          <w:p w:rsidR="00FF62FF" w:rsidRDefault="00FF62FF" w:rsidP="00FF62FF">
            <w:pPr>
              <w:pStyle w:val="ListParagraph"/>
              <w:numPr>
                <w:ilvl w:val="0"/>
                <w:numId w:val="37"/>
              </w:numPr>
              <w:spacing w:line="360" w:lineRule="auto"/>
              <w:jc w:val="both"/>
              <w:rPr>
                <w:rFonts w:ascii="Times New Roman" w:eastAsia="Times New Roman" w:hAnsi="Times New Roman" w:cs="Times New Roman"/>
                <w:bCs/>
                <w:shd w:val="clear" w:color="auto" w:fill="FFFFFF"/>
                <w:lang w:val="en-IN" w:eastAsia="en-IN"/>
              </w:rPr>
            </w:pPr>
            <w:r w:rsidRPr="00FF62FF">
              <w:rPr>
                <w:rFonts w:ascii="Times New Roman" w:eastAsia="Times New Roman" w:hAnsi="Times New Roman" w:cs="Times New Roman"/>
                <w:bCs/>
                <w:shd w:val="clear" w:color="auto" w:fill="FFFFFF"/>
                <w:lang w:val="en-IN" w:eastAsia="en-IN"/>
              </w:rPr>
              <w:t xml:space="preserve">While the recommendation for regular dental </w:t>
            </w:r>
            <w:proofErr w:type="spellStart"/>
            <w:r w:rsidRPr="00FF62FF">
              <w:rPr>
                <w:rFonts w:ascii="Times New Roman" w:eastAsia="Times New Roman" w:hAnsi="Times New Roman" w:cs="Times New Roman"/>
                <w:bCs/>
                <w:shd w:val="clear" w:color="auto" w:fill="FFFFFF"/>
                <w:lang w:val="en-IN" w:eastAsia="en-IN"/>
              </w:rPr>
              <w:t>checkups</w:t>
            </w:r>
            <w:proofErr w:type="spellEnd"/>
            <w:r w:rsidRPr="00FF62FF">
              <w:rPr>
                <w:rFonts w:ascii="Times New Roman" w:eastAsia="Times New Roman" w:hAnsi="Times New Roman" w:cs="Times New Roman"/>
                <w:bCs/>
                <w:shd w:val="clear" w:color="auto" w:fill="FFFFFF"/>
                <w:lang w:val="en-IN" w:eastAsia="en-IN"/>
              </w:rPr>
              <w:t xml:space="preserve"> is sound, the editorial does not offer practical guidance on implementing such interdisciplinary care.</w:t>
            </w:r>
            <w:r>
              <w:t xml:space="preserve"> </w:t>
            </w:r>
            <w:r w:rsidRPr="00FF62FF">
              <w:rPr>
                <w:rFonts w:ascii="Times New Roman" w:eastAsia="Times New Roman" w:hAnsi="Times New Roman" w:cs="Times New Roman"/>
                <w:bCs/>
                <w:shd w:val="clear" w:color="auto" w:fill="FFFFFF"/>
                <w:lang w:val="en-IN" w:eastAsia="en-IN"/>
              </w:rPr>
              <w:t xml:space="preserve">Briefly outline possible protocols or suggestions for health systems to facilitate better dental care access for patients with </w:t>
            </w:r>
            <w:bookmarkStart w:id="0" w:name="_GoBack"/>
            <w:r w:rsidRPr="00FF62FF">
              <w:rPr>
                <w:rFonts w:ascii="Times New Roman" w:eastAsia="Times New Roman" w:hAnsi="Times New Roman" w:cs="Times New Roman"/>
                <w:bCs/>
                <w:shd w:val="clear" w:color="auto" w:fill="FFFFFF"/>
                <w:lang w:val="en-IN" w:eastAsia="en-IN"/>
              </w:rPr>
              <w:t>AD</w:t>
            </w:r>
            <w:bookmarkEnd w:id="0"/>
            <w:r w:rsidRPr="00FF62FF">
              <w:rPr>
                <w:rFonts w:ascii="Times New Roman" w:eastAsia="Times New Roman" w:hAnsi="Times New Roman" w:cs="Times New Roman"/>
                <w:bCs/>
                <w:shd w:val="clear" w:color="auto" w:fill="FFFFFF"/>
                <w:lang w:val="en-IN" w:eastAsia="en-IN"/>
              </w:rPr>
              <w:t>.</w:t>
            </w:r>
          </w:p>
          <w:p w:rsidR="00FF62FF" w:rsidRPr="00FF62FF" w:rsidRDefault="00FF62FF" w:rsidP="00FF62FF">
            <w:pPr>
              <w:pStyle w:val="ListParagraph"/>
              <w:numPr>
                <w:ilvl w:val="0"/>
                <w:numId w:val="38"/>
              </w:numPr>
              <w:spacing w:line="360" w:lineRule="auto"/>
              <w:jc w:val="both"/>
              <w:rPr>
                <w:rFonts w:ascii="Times New Roman" w:eastAsia="Times New Roman" w:hAnsi="Times New Roman" w:cs="Times New Roman"/>
                <w:bCs/>
                <w:shd w:val="clear" w:color="auto" w:fill="FFFFFF"/>
                <w:lang w:val="en-IN" w:eastAsia="en-IN"/>
              </w:rPr>
            </w:pPr>
            <w:r w:rsidRPr="00FF62FF">
              <w:rPr>
                <w:rFonts w:ascii="Times New Roman" w:eastAsia="Times New Roman" w:hAnsi="Times New Roman" w:cs="Times New Roman"/>
                <w:bCs/>
                <w:shd w:val="clear" w:color="auto" w:fill="FFFFFF"/>
                <w:lang w:val="en-IN" w:eastAsia="en-IN"/>
              </w:rPr>
              <w:t>The manuscript would benefit from a concise conclusion that summarizes the key findings, reinforces the clinical relevance of the association between periodontal and neurological health, and emphasizes the need for interdisciplinary collaboration in managing patients with Alzheimer's disease.</w:t>
            </w:r>
          </w:p>
          <w:p w:rsidR="00BA178E" w:rsidRPr="00103B8A" w:rsidRDefault="00E15C74" w:rsidP="00525E08">
            <w:pPr>
              <w:spacing w:line="360" w:lineRule="auto"/>
              <w:jc w:val="both"/>
              <w:rPr>
                <w:rFonts w:ascii="Times New Roman" w:hAnsi="Times New Roman" w:cs="Times New Roman"/>
              </w:rPr>
            </w:pPr>
            <w:r w:rsidRPr="00103B8A">
              <w:rPr>
                <w:rFonts w:ascii="Times New Roman" w:eastAsia="Times New Roman" w:hAnsi="Times New Roman" w:cs="Times New Roman"/>
                <w:bCs/>
                <w:shd w:val="clear" w:color="auto" w:fill="FFFFFF"/>
                <w:lang w:val="en-IN" w:eastAsia="en-IN"/>
              </w:rPr>
              <w:t>The article can be published after m</w:t>
            </w:r>
            <w:r w:rsidR="001477CF">
              <w:rPr>
                <w:rFonts w:ascii="Times New Roman" w:eastAsia="Times New Roman" w:hAnsi="Times New Roman" w:cs="Times New Roman"/>
                <w:bCs/>
                <w:shd w:val="clear" w:color="auto" w:fill="FFFFFF"/>
                <w:lang w:val="en-IN" w:eastAsia="en-IN"/>
              </w:rPr>
              <w:t>ajor</w:t>
            </w:r>
            <w:r w:rsidRPr="00103B8A">
              <w:rPr>
                <w:rFonts w:ascii="Times New Roman" w:eastAsia="Times New Roman" w:hAnsi="Times New Roman" w:cs="Times New Roman"/>
                <w:bCs/>
                <w:shd w:val="clear" w:color="auto" w:fill="FFFFFF"/>
                <w:lang w:val="en-IN" w:eastAsia="en-IN"/>
              </w:rPr>
              <w:t xml:space="preserve"> revision.</w:t>
            </w:r>
          </w:p>
        </w:tc>
      </w:tr>
    </w:tbl>
    <w:p w:rsidR="00BA178E" w:rsidRPr="00CB61CB" w:rsidRDefault="00BA178E" w:rsidP="000C4B93">
      <w:pPr>
        <w:spacing w:line="360" w:lineRule="auto"/>
        <w:jc w:val="both"/>
        <w:rPr>
          <w:rFonts w:ascii="Times New Roman" w:hAnsi="Times New Roman" w:cs="Times New Roman"/>
        </w:rPr>
      </w:pPr>
    </w:p>
    <w:sectPr w:rsidR="00BA178E" w:rsidRPr="00CB61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370A" w:rsidRDefault="0095370A">
      <w:pPr>
        <w:spacing w:line="240" w:lineRule="auto"/>
      </w:pPr>
      <w:r>
        <w:separator/>
      </w:r>
    </w:p>
  </w:endnote>
  <w:endnote w:type="continuationSeparator" w:id="0">
    <w:p w:rsidR="0095370A" w:rsidRDefault="009537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370A" w:rsidRDefault="0095370A">
      <w:pPr>
        <w:spacing w:after="0"/>
      </w:pPr>
      <w:r>
        <w:separator/>
      </w:r>
    </w:p>
  </w:footnote>
  <w:footnote w:type="continuationSeparator" w:id="0">
    <w:p w:rsidR="0095370A" w:rsidRDefault="0095370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012485"/>
    <w:multiLevelType w:val="multilevel"/>
    <w:tmpl w:val="832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16C60"/>
    <w:multiLevelType w:val="hybridMultilevel"/>
    <w:tmpl w:val="017E85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4A536C9"/>
    <w:multiLevelType w:val="hybridMultilevel"/>
    <w:tmpl w:val="FE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73901"/>
    <w:multiLevelType w:val="hybridMultilevel"/>
    <w:tmpl w:val="3EAE21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71918DD"/>
    <w:multiLevelType w:val="hybridMultilevel"/>
    <w:tmpl w:val="3900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0A7A0A"/>
    <w:multiLevelType w:val="hybridMultilevel"/>
    <w:tmpl w:val="4FC2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115DB9"/>
    <w:multiLevelType w:val="hybridMultilevel"/>
    <w:tmpl w:val="A404C3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6BB61E1"/>
    <w:multiLevelType w:val="hybridMultilevel"/>
    <w:tmpl w:val="815884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8A548A9"/>
    <w:multiLevelType w:val="hybridMultilevel"/>
    <w:tmpl w:val="8D18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A069A2"/>
    <w:multiLevelType w:val="hybridMultilevel"/>
    <w:tmpl w:val="88ACA9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48E549C3"/>
    <w:multiLevelType w:val="hybridMultilevel"/>
    <w:tmpl w:val="F17CE3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C78513B"/>
    <w:multiLevelType w:val="hybridMultilevel"/>
    <w:tmpl w:val="2F6E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17" w15:restartNumberingAfterBreak="0">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9B25FC"/>
    <w:multiLevelType w:val="hybridMultilevel"/>
    <w:tmpl w:val="E67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277581"/>
    <w:multiLevelType w:val="hybridMultilevel"/>
    <w:tmpl w:val="5D3AEB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65C3345A"/>
    <w:multiLevelType w:val="hybridMultilevel"/>
    <w:tmpl w:val="4ADC2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679C10B8"/>
    <w:multiLevelType w:val="hybridMultilevel"/>
    <w:tmpl w:val="32D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8032DB"/>
    <w:multiLevelType w:val="hybridMultilevel"/>
    <w:tmpl w:val="5E74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9F630C"/>
    <w:multiLevelType w:val="hybridMultilevel"/>
    <w:tmpl w:val="1F8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A761FF"/>
    <w:multiLevelType w:val="hybridMultilevel"/>
    <w:tmpl w:val="9A40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AA4104"/>
    <w:multiLevelType w:val="hybridMultilevel"/>
    <w:tmpl w:val="DE920A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70640A78"/>
    <w:multiLevelType w:val="hybridMultilevel"/>
    <w:tmpl w:val="7F66F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7291036F"/>
    <w:multiLevelType w:val="hybridMultilevel"/>
    <w:tmpl w:val="F71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CD78E4"/>
    <w:multiLevelType w:val="hybridMultilevel"/>
    <w:tmpl w:val="11D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F4560D"/>
    <w:multiLevelType w:val="hybridMultilevel"/>
    <w:tmpl w:val="DB341D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72F86DD6"/>
    <w:multiLevelType w:val="hybridMultilevel"/>
    <w:tmpl w:val="EEC8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7C258B"/>
    <w:multiLevelType w:val="hybridMultilevel"/>
    <w:tmpl w:val="F894FA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7AF314C2"/>
    <w:multiLevelType w:val="hybridMultilevel"/>
    <w:tmpl w:val="0E3A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7"/>
  </w:num>
  <w:num w:numId="4">
    <w:abstractNumId w:val="19"/>
  </w:num>
  <w:num w:numId="5">
    <w:abstractNumId w:val="33"/>
  </w:num>
  <w:num w:numId="6">
    <w:abstractNumId w:val="11"/>
  </w:num>
  <w:num w:numId="7">
    <w:abstractNumId w:val="34"/>
  </w:num>
  <w:num w:numId="8">
    <w:abstractNumId w:val="15"/>
  </w:num>
  <w:num w:numId="9">
    <w:abstractNumId w:val="37"/>
  </w:num>
  <w:num w:numId="10">
    <w:abstractNumId w:val="20"/>
  </w:num>
  <w:num w:numId="11">
    <w:abstractNumId w:val="10"/>
  </w:num>
  <w:num w:numId="12">
    <w:abstractNumId w:val="9"/>
  </w:num>
  <w:num w:numId="13">
    <w:abstractNumId w:val="30"/>
  </w:num>
  <w:num w:numId="14">
    <w:abstractNumId w:val="23"/>
  </w:num>
  <w:num w:numId="15">
    <w:abstractNumId w:val="25"/>
  </w:num>
  <w:num w:numId="16">
    <w:abstractNumId w:val="24"/>
  </w:num>
  <w:num w:numId="17">
    <w:abstractNumId w:val="32"/>
  </w:num>
  <w:num w:numId="18">
    <w:abstractNumId w:val="6"/>
  </w:num>
  <w:num w:numId="19">
    <w:abstractNumId w:val="3"/>
  </w:num>
  <w:num w:numId="20">
    <w:abstractNumId w:val="29"/>
  </w:num>
  <w:num w:numId="21">
    <w:abstractNumId w:val="1"/>
  </w:num>
  <w:num w:numId="22">
    <w:abstractNumId w:val="18"/>
  </w:num>
  <w:num w:numId="23">
    <w:abstractNumId w:val="26"/>
  </w:num>
  <w:num w:numId="24">
    <w:abstractNumId w:val="5"/>
  </w:num>
  <w:num w:numId="25">
    <w:abstractNumId w:val="36"/>
  </w:num>
  <w:num w:numId="26">
    <w:abstractNumId w:val="14"/>
  </w:num>
  <w:num w:numId="27">
    <w:abstractNumId w:val="35"/>
  </w:num>
  <w:num w:numId="28">
    <w:abstractNumId w:val="28"/>
  </w:num>
  <w:num w:numId="29">
    <w:abstractNumId w:val="22"/>
  </w:num>
  <w:num w:numId="30">
    <w:abstractNumId w:val="8"/>
  </w:num>
  <w:num w:numId="31">
    <w:abstractNumId w:val="31"/>
  </w:num>
  <w:num w:numId="32">
    <w:abstractNumId w:val="7"/>
  </w:num>
  <w:num w:numId="33">
    <w:abstractNumId w:val="4"/>
  </w:num>
  <w:num w:numId="34">
    <w:abstractNumId w:val="27"/>
  </w:num>
  <w:num w:numId="35">
    <w:abstractNumId w:val="12"/>
  </w:num>
  <w:num w:numId="36">
    <w:abstractNumId w:val="21"/>
  </w:num>
  <w:num w:numId="37">
    <w:abstractNumId w:val="2"/>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2F23"/>
    <w:rsid w:val="00003D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6B41"/>
    <w:rsid w:val="000776F5"/>
    <w:rsid w:val="00077C4D"/>
    <w:rsid w:val="000804F7"/>
    <w:rsid w:val="00080E09"/>
    <w:rsid w:val="000817B5"/>
    <w:rsid w:val="00081E8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3E38"/>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B3536"/>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5E08"/>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1B03"/>
    <w:rsid w:val="005921AE"/>
    <w:rsid w:val="0059239C"/>
    <w:rsid w:val="00592E03"/>
    <w:rsid w:val="005941DA"/>
    <w:rsid w:val="00595782"/>
    <w:rsid w:val="005963F8"/>
    <w:rsid w:val="005970DA"/>
    <w:rsid w:val="00597148"/>
    <w:rsid w:val="005A1BD0"/>
    <w:rsid w:val="005A310C"/>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1A62"/>
    <w:rsid w:val="005F30B9"/>
    <w:rsid w:val="005F3B93"/>
    <w:rsid w:val="005F3BA8"/>
    <w:rsid w:val="00600502"/>
    <w:rsid w:val="006019BB"/>
    <w:rsid w:val="0060372B"/>
    <w:rsid w:val="00603CAD"/>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21B9"/>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370A"/>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7AE6"/>
    <w:rsid w:val="00B51458"/>
    <w:rsid w:val="00B52C96"/>
    <w:rsid w:val="00B54DF5"/>
    <w:rsid w:val="00B5512A"/>
    <w:rsid w:val="00B56416"/>
    <w:rsid w:val="00B57067"/>
    <w:rsid w:val="00B57218"/>
    <w:rsid w:val="00B575D0"/>
    <w:rsid w:val="00B61C12"/>
    <w:rsid w:val="00B61CD0"/>
    <w:rsid w:val="00B6409D"/>
    <w:rsid w:val="00B6477F"/>
    <w:rsid w:val="00B667B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4A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CF7976"/>
    <w:rsid w:val="00D001A3"/>
    <w:rsid w:val="00D009EE"/>
    <w:rsid w:val="00D04009"/>
    <w:rsid w:val="00D0598A"/>
    <w:rsid w:val="00D05F29"/>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44DF"/>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4B26"/>
    <w:rsid w:val="00D75683"/>
    <w:rsid w:val="00D822D3"/>
    <w:rsid w:val="00D82757"/>
    <w:rsid w:val="00D8301E"/>
    <w:rsid w:val="00D83CAC"/>
    <w:rsid w:val="00D8492D"/>
    <w:rsid w:val="00D84AA4"/>
    <w:rsid w:val="00D8600D"/>
    <w:rsid w:val="00D92282"/>
    <w:rsid w:val="00D92A64"/>
    <w:rsid w:val="00D92F11"/>
    <w:rsid w:val="00D940FC"/>
    <w:rsid w:val="00D9547D"/>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1911"/>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27"/>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49B"/>
    <w:rsid w:val="00F4271F"/>
    <w:rsid w:val="00F4278F"/>
    <w:rsid w:val="00F46205"/>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E792D"/>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C696F"/>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69F3C-AFB7-43E5-9E5F-D75B00799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2025-04-09T08:33:00Z</dcterms:created>
  <dcterms:modified xsi:type="dcterms:W3CDTF">2025-04-09T08:33:00Z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